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L="57150" distR="57150" distT="57150" distB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270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56"/>
          <w:szCs w:val="56"/>
        </w:rPr>
      </w:pPr>
      <w:r>
        <w:rPr>
          <w:rFonts w:ascii="Times New Roman" w:hAnsi="Times New Roman"/>
          <w:b w:val="1"/>
          <w:bCs w:val="1"/>
          <w:sz w:val="56"/>
          <w:szCs w:val="56"/>
          <w:rtl w:val="0"/>
        </w:rPr>
        <w:t>MEMO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Centres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FROM: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Executive Officer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DATE: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Tuesday 3rd September, 2019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-18103</wp:posOffset>
                </wp:positionH>
                <wp:positionV relativeFrom="line">
                  <wp:posOffset>284163</wp:posOffset>
                </wp:positionV>
                <wp:extent cx="5920740" cy="7619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0740" cy="761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4pt;margin-top:22.4pt;width:466.2pt;height: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Centres Minutes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Hi Everyone,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Board would like to remind Centres that they are required to send a copy of the minutes of any meetings held by the Centres, as soon as possible following the meeting, to State Office. These minutes must include a minimum of a Profit and Loss Account along with current bank balances.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It would be appreciated if Centres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Secretaries would advise State Office of the frequency of regular meetings of the Centre, ie monthly, quarterly ect.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Kind regards,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-282612</wp:posOffset>
            </wp:positionH>
            <wp:positionV relativeFrom="line">
              <wp:posOffset>211168</wp:posOffset>
            </wp:positionV>
            <wp:extent cx="4140200" cy="2794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D3BD734-C7D9-418F-886E-4C28574A7B94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79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