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4056" w14:textId="1CB0374B" w:rsidR="005F156B" w:rsidRPr="004B4D34" w:rsidRDefault="00040F07" w:rsidP="00366A8A">
      <w:pPr>
        <w:jc w:val="right"/>
      </w:pPr>
      <w:r>
        <w:t>10</w:t>
      </w:r>
      <w:r w:rsidR="004B4D34">
        <w:t xml:space="preserve"> September 2024</w:t>
      </w:r>
    </w:p>
    <w:p w14:paraId="49219465" w14:textId="117CC4FF" w:rsidR="005F156B" w:rsidRDefault="005F156B">
      <w:r w:rsidRPr="005F156B">
        <w:t xml:space="preserve">Dear </w:t>
      </w:r>
      <w:r>
        <w:t>fellow RDA Centre</w:t>
      </w:r>
    </w:p>
    <w:p w14:paraId="0E7FC044" w14:textId="15DE8E85" w:rsidR="00C713AD" w:rsidRDefault="00C713AD">
      <w:r>
        <w:t>We are writing to inform you of our efforts</w:t>
      </w:r>
      <w:r w:rsidR="004B4D34">
        <w:t>, at a grass-roots Centre Member level,</w:t>
      </w:r>
      <w:r>
        <w:t xml:space="preserve"> to conduct </w:t>
      </w:r>
      <w:r w:rsidR="006B4397">
        <w:t>a</w:t>
      </w:r>
      <w:r w:rsidR="00B01D31">
        <w:t>n open,</w:t>
      </w:r>
      <w:r>
        <w:t xml:space="preserve"> collaborative and constructive </w:t>
      </w:r>
      <w:r w:rsidR="006B4397">
        <w:t>Review of the RDA NSW Constitution.</w:t>
      </w:r>
    </w:p>
    <w:p w14:paraId="3838CC55" w14:textId="1F523E35" w:rsidR="00E57D27" w:rsidRDefault="00E57D27">
      <w:r>
        <w:t>A</w:t>
      </w:r>
      <w:r w:rsidR="00366A8A">
        <w:t xml:space="preserve">s </w:t>
      </w:r>
      <w:r>
        <w:t>a part of that process, we have also reviewed the</w:t>
      </w:r>
      <w:r w:rsidR="00D708DF">
        <w:t xml:space="preserve"> </w:t>
      </w:r>
      <w:r w:rsidR="002A6C98">
        <w:t xml:space="preserve">actions </w:t>
      </w:r>
      <w:r>
        <w:t xml:space="preserve">of the current </w:t>
      </w:r>
      <w:r w:rsidR="00C61EBD">
        <w:t xml:space="preserve">Board of Directors of </w:t>
      </w:r>
      <w:r w:rsidR="004B4D34" w:rsidRPr="001121BD">
        <w:t>RDA</w:t>
      </w:r>
      <w:r w:rsidR="004B4D34">
        <w:t xml:space="preserve"> </w:t>
      </w:r>
      <w:r w:rsidR="00C61EBD">
        <w:t>NSW</w:t>
      </w:r>
      <w:r w:rsidR="004D4734">
        <w:t xml:space="preserve"> in the context of the current C</w:t>
      </w:r>
      <w:r w:rsidR="00B61001">
        <w:t>o</w:t>
      </w:r>
      <w:r w:rsidR="004D4734">
        <w:t>nst</w:t>
      </w:r>
      <w:r w:rsidR="00B61001">
        <w:t>it</w:t>
      </w:r>
      <w:r w:rsidR="004D4734">
        <w:t>ution</w:t>
      </w:r>
      <w:r w:rsidR="00C61EBD">
        <w:t>.</w:t>
      </w:r>
    </w:p>
    <w:p w14:paraId="3832CF42" w14:textId="51161021" w:rsidR="00761A5D" w:rsidRDefault="00995C7B">
      <w:r>
        <w:t xml:space="preserve">We have already commenced </w:t>
      </w:r>
      <w:r w:rsidR="003471F6">
        <w:t>this Process</w:t>
      </w:r>
      <w:r w:rsidR="00A11479">
        <w:t xml:space="preserve"> by</w:t>
      </w:r>
      <w:r w:rsidR="00761A5D">
        <w:t xml:space="preserve"> </w:t>
      </w:r>
      <w:r w:rsidR="003471F6">
        <w:t>sen</w:t>
      </w:r>
      <w:r w:rsidR="00A11479">
        <w:t>ding</w:t>
      </w:r>
      <w:r w:rsidR="003471F6">
        <w:t xml:space="preserve"> a Requisition Letter to</w:t>
      </w:r>
      <w:r w:rsidR="00574956">
        <w:t xml:space="preserve"> the Board </w:t>
      </w:r>
      <w:r w:rsidR="001121BD">
        <w:t xml:space="preserve">calling </w:t>
      </w:r>
      <w:r w:rsidR="00142CB5">
        <w:t xml:space="preserve">on </w:t>
      </w:r>
      <w:r w:rsidR="001121BD">
        <w:t xml:space="preserve">them </w:t>
      </w:r>
      <w:r w:rsidR="00574956">
        <w:t>to hold</w:t>
      </w:r>
      <w:r w:rsidR="00761A5D">
        <w:t xml:space="preserve"> two Special General Meetings</w:t>
      </w:r>
      <w:r w:rsidR="00574956">
        <w:t xml:space="preserve"> (see attached).</w:t>
      </w:r>
      <w:r w:rsidR="002A5F78">
        <w:t xml:space="preserve"> </w:t>
      </w:r>
      <w:r w:rsidR="00574956">
        <w:t xml:space="preserve"> </w:t>
      </w:r>
    </w:p>
    <w:p w14:paraId="483470E1" w14:textId="1722D763" w:rsidR="007B170E" w:rsidRDefault="007B170E">
      <w:r>
        <w:rPr>
          <w:b/>
          <w:bCs/>
        </w:rPr>
        <w:t>The Constitution</w:t>
      </w:r>
    </w:p>
    <w:p w14:paraId="561FF982" w14:textId="16465D23" w:rsidR="007B170E" w:rsidRDefault="007B170E">
      <w:r>
        <w:t>Despite many attempts, and many requests</w:t>
      </w:r>
      <w:r w:rsidR="002304CF">
        <w:t xml:space="preserve"> by Centre Members to </w:t>
      </w:r>
      <w:r w:rsidR="002A5F78">
        <w:t xml:space="preserve">the </w:t>
      </w:r>
      <w:r w:rsidR="002304CF">
        <w:t>Board to fix the issues</w:t>
      </w:r>
      <w:r>
        <w:t xml:space="preserve">, the current RDA NSW </w:t>
      </w:r>
      <w:r w:rsidR="002304CF">
        <w:t xml:space="preserve">Constitution still </w:t>
      </w:r>
      <w:r>
        <w:t xml:space="preserve">has some serious </w:t>
      </w:r>
      <w:r w:rsidR="008649D9">
        <w:t>contradictions and errors.</w:t>
      </w:r>
    </w:p>
    <w:p w14:paraId="548B97E6" w14:textId="7350278B" w:rsidR="008649D9" w:rsidRDefault="008649D9">
      <w:r>
        <w:t xml:space="preserve">This was supposed to be </w:t>
      </w:r>
      <w:r w:rsidR="008C6DE2">
        <w:t>corrected in 2017/18, yet it remains clear that many issues remain.</w:t>
      </w:r>
    </w:p>
    <w:p w14:paraId="455FBE85" w14:textId="5B643AC1" w:rsidR="00E51D6C" w:rsidRDefault="00E51D6C">
      <w:r>
        <w:t xml:space="preserve">The proposed Constitutional Review Process (see attached) </w:t>
      </w:r>
      <w:r w:rsidR="002304CF">
        <w:t>aim</w:t>
      </w:r>
      <w:r w:rsidR="002A5F78">
        <w:t>s</w:t>
      </w:r>
      <w:r w:rsidR="002304CF">
        <w:t xml:space="preserve"> to consult widely with </w:t>
      </w:r>
      <w:r w:rsidR="00F147EA">
        <w:t xml:space="preserve">RDA’s </w:t>
      </w:r>
      <w:r w:rsidR="00D74A43">
        <w:t>stakeholders and</w:t>
      </w:r>
      <w:r w:rsidR="00F147EA">
        <w:t xml:space="preserve"> seek</w:t>
      </w:r>
      <w:r w:rsidR="002A5F78">
        <w:t>s</w:t>
      </w:r>
      <w:r w:rsidR="00F147EA">
        <w:t xml:space="preserve"> to provide a fresh approach </w:t>
      </w:r>
      <w:r w:rsidR="00FE54A9">
        <w:t>to</w:t>
      </w:r>
      <w:r w:rsidR="00BB17A7">
        <w:t xml:space="preserve"> </w:t>
      </w:r>
      <w:r w:rsidR="00040F07">
        <w:t>revising the</w:t>
      </w:r>
      <w:r w:rsidR="00FE54A9">
        <w:t xml:space="preserve"> </w:t>
      </w:r>
      <w:r w:rsidR="00034B57">
        <w:t>RDA NSW Constitution.</w:t>
      </w:r>
    </w:p>
    <w:p w14:paraId="6AEC55DB" w14:textId="46622310" w:rsidR="00034B57" w:rsidRDefault="00E231EB">
      <w:r>
        <w:rPr>
          <w:b/>
          <w:bCs/>
        </w:rPr>
        <w:t>Renewing the Board</w:t>
      </w:r>
    </w:p>
    <w:p w14:paraId="097D98DB" w14:textId="0DCA8ECF" w:rsidR="00E231EB" w:rsidRDefault="00D03C48">
      <w:r>
        <w:t>If</w:t>
      </w:r>
      <w:r w:rsidR="00E231EB">
        <w:t xml:space="preserve"> a new Constitution</w:t>
      </w:r>
      <w:r>
        <w:t xml:space="preserve"> is adopted</w:t>
      </w:r>
      <w:r w:rsidR="00E231EB">
        <w:t xml:space="preserve">, it is proposed </w:t>
      </w:r>
      <w:r w:rsidR="00576BD1">
        <w:t>that new Board elect</w:t>
      </w:r>
      <w:r w:rsidR="00D50C90">
        <w:t xml:space="preserve">ions </w:t>
      </w:r>
      <w:r w:rsidR="00BB5ACA">
        <w:t>will need to be held</w:t>
      </w:r>
      <w:r w:rsidR="00576BD1">
        <w:t>.</w:t>
      </w:r>
    </w:p>
    <w:p w14:paraId="4E3C91EC" w14:textId="4D7056DD" w:rsidR="00576BD1" w:rsidRDefault="006C3A73">
      <w:r>
        <w:t>We note that</w:t>
      </w:r>
      <w:r w:rsidR="00590B29">
        <w:t>,</w:t>
      </w:r>
      <w:r>
        <w:t xml:space="preserve"> despite the genuine efforts of the current Board </w:t>
      </w:r>
      <w:r w:rsidR="00590B29">
        <w:t xml:space="preserve">to serve the interests of the organisation, </w:t>
      </w:r>
      <w:r w:rsidR="00D74A43">
        <w:t xml:space="preserve">it appears that </w:t>
      </w:r>
      <w:r w:rsidR="007C79CF">
        <w:t xml:space="preserve">the </w:t>
      </w:r>
      <w:r w:rsidR="00FF2279">
        <w:t>current Board does not seem to understand its responsibilities</w:t>
      </w:r>
      <w:r w:rsidR="007F4897">
        <w:t xml:space="preserve"> to the Member Centres</w:t>
      </w:r>
      <w:r w:rsidR="00FF2279">
        <w:t>, and therefore appears to continue to struggle with the execution of its obligations and fiduciary duties</w:t>
      </w:r>
      <w:r w:rsidR="00CE6831">
        <w:t>.</w:t>
      </w:r>
    </w:p>
    <w:p w14:paraId="3541F11B" w14:textId="6ADA317F" w:rsidR="00C20A8A" w:rsidRDefault="00C20A8A">
      <w:r>
        <w:t>With that in mind, we are proposing a ‘renewal’ of the Board as part of the proposed Constitutional Review Process.</w:t>
      </w:r>
    </w:p>
    <w:p w14:paraId="425DA40A" w14:textId="77777777" w:rsidR="00432F7F" w:rsidRDefault="00623CDC">
      <w:pPr>
        <w:rPr>
          <w:b/>
          <w:bCs/>
        </w:rPr>
      </w:pPr>
      <w:r>
        <w:rPr>
          <w:b/>
          <w:bCs/>
        </w:rPr>
        <w:t xml:space="preserve">Next </w:t>
      </w:r>
      <w:r w:rsidRPr="00432F7F">
        <w:rPr>
          <w:b/>
          <w:bCs/>
        </w:rPr>
        <w:t>Steps</w:t>
      </w:r>
      <w:r w:rsidR="00432F7F">
        <w:rPr>
          <w:b/>
          <w:bCs/>
        </w:rPr>
        <w:t xml:space="preserve"> </w:t>
      </w:r>
    </w:p>
    <w:p w14:paraId="3CC431E5" w14:textId="1DD57629" w:rsidR="00C20A8A" w:rsidRDefault="00C20A8A">
      <w:r w:rsidRPr="00432F7F">
        <w:t>We</w:t>
      </w:r>
      <w:r w:rsidR="006B21D6">
        <w:t xml:space="preserve"> think it is </w:t>
      </w:r>
      <w:r w:rsidR="006B21D6" w:rsidRPr="00A457B4">
        <w:rPr>
          <w:b/>
          <w:bCs/>
        </w:rPr>
        <w:t>important that the Board understands that there is broad support</w:t>
      </w:r>
      <w:r w:rsidR="006B21D6">
        <w:t xml:space="preserve"> for the proposed</w:t>
      </w:r>
      <w:r w:rsidR="009F2C01">
        <w:t xml:space="preserve"> Constitutional Review Process</w:t>
      </w:r>
      <w:r w:rsidR="009B1EE6">
        <w:t>. We encourage you to</w:t>
      </w:r>
      <w:r w:rsidR="009F2C01">
        <w:t xml:space="preserve"> </w:t>
      </w:r>
      <w:r w:rsidR="00DB4DFE">
        <w:t xml:space="preserve">discuss this at your </w:t>
      </w:r>
      <w:r w:rsidR="00B853D2">
        <w:t xml:space="preserve">Centre </w:t>
      </w:r>
      <w:r w:rsidR="00DB4DFE">
        <w:t>Committee.</w:t>
      </w:r>
    </w:p>
    <w:p w14:paraId="21209D49" w14:textId="147C398C" w:rsidR="00DB4DFE" w:rsidRDefault="00DB4DFE">
      <w:r>
        <w:t xml:space="preserve">If you agree at </w:t>
      </w:r>
      <w:r w:rsidR="001121BD">
        <w:t>your</w:t>
      </w:r>
      <w:r>
        <w:t xml:space="preserve"> Centre th</w:t>
      </w:r>
      <w:r w:rsidR="00182CDB">
        <w:t>en</w:t>
      </w:r>
      <w:r>
        <w:t xml:space="preserve"> </w:t>
      </w:r>
      <w:r w:rsidRPr="003554ED">
        <w:rPr>
          <w:b/>
          <w:bCs/>
        </w:rPr>
        <w:t xml:space="preserve">please </w:t>
      </w:r>
      <w:r w:rsidR="00182CDB" w:rsidRPr="003554ED">
        <w:rPr>
          <w:b/>
          <w:bCs/>
        </w:rPr>
        <w:t xml:space="preserve">sign the attached </w:t>
      </w:r>
      <w:r w:rsidR="00C56F4C" w:rsidRPr="003554ED">
        <w:rPr>
          <w:b/>
          <w:bCs/>
        </w:rPr>
        <w:t>L</w:t>
      </w:r>
      <w:r w:rsidR="00182CDB" w:rsidRPr="003554ED">
        <w:rPr>
          <w:b/>
          <w:bCs/>
        </w:rPr>
        <w:t>etter</w:t>
      </w:r>
      <w:r w:rsidR="00182CDB">
        <w:t xml:space="preserve"> of Support</w:t>
      </w:r>
      <w:r w:rsidR="00332F67">
        <w:t xml:space="preserve"> </w:t>
      </w:r>
      <w:r w:rsidR="00040F07">
        <w:t xml:space="preserve">and </w:t>
      </w:r>
      <w:r w:rsidR="00040F07" w:rsidRPr="003554ED">
        <w:rPr>
          <w:b/>
          <w:bCs/>
        </w:rPr>
        <w:t>forward</w:t>
      </w:r>
      <w:r w:rsidR="00332F67" w:rsidRPr="003554ED">
        <w:rPr>
          <w:b/>
          <w:bCs/>
        </w:rPr>
        <w:t xml:space="preserve"> it to the RDA NSW Board</w:t>
      </w:r>
      <w:r w:rsidR="00332F67">
        <w:t>.</w:t>
      </w:r>
    </w:p>
    <w:p w14:paraId="0F7F38EB" w14:textId="77777777" w:rsidR="00F17E43" w:rsidRDefault="003554ED">
      <w:r>
        <w:t xml:space="preserve">Please send </w:t>
      </w:r>
      <w:r w:rsidR="00F17E43">
        <w:t xml:space="preserve">us </w:t>
      </w:r>
      <w:r>
        <w:t xml:space="preserve">a copy </w:t>
      </w:r>
      <w:r w:rsidR="00D81BB2">
        <w:t xml:space="preserve">of </w:t>
      </w:r>
      <w:r w:rsidR="00F17E43">
        <w:t>your Letter of Support after you have sent it to the Board.</w:t>
      </w:r>
    </w:p>
    <w:p w14:paraId="3FEB5820" w14:textId="49C1163F" w:rsidR="00C56F4C" w:rsidRDefault="00C56F4C">
      <w:r>
        <w:lastRenderedPageBreak/>
        <w:t xml:space="preserve">We have taken steps to ensure that the Board understands that </w:t>
      </w:r>
      <w:r w:rsidR="00142CB5">
        <w:t>we</w:t>
      </w:r>
      <w:r>
        <w:t xml:space="preserve"> will no</w:t>
      </w:r>
      <w:r w:rsidR="00142CB5">
        <w:t>t</w:t>
      </w:r>
      <w:r>
        <w:t xml:space="preserve"> </w:t>
      </w:r>
      <w:r w:rsidR="00BC50B9">
        <w:t>tolera</w:t>
      </w:r>
      <w:r w:rsidR="00142CB5">
        <w:t>te</w:t>
      </w:r>
      <w:r w:rsidR="00772594">
        <w:t xml:space="preserve"> any</w:t>
      </w:r>
      <w:r w:rsidR="00BC50B9">
        <w:t xml:space="preserve"> actions taken by the </w:t>
      </w:r>
      <w:r w:rsidR="00B853D2">
        <w:t xml:space="preserve">current </w:t>
      </w:r>
      <w:r w:rsidR="00BC50B9">
        <w:t>Board to place</w:t>
      </w:r>
      <w:r w:rsidR="00C45E2A">
        <w:t xml:space="preserve"> your</w:t>
      </w:r>
      <w:r w:rsidR="00BC50B9">
        <w:t xml:space="preserve"> Centre under administration if </w:t>
      </w:r>
      <w:r w:rsidR="0005715E">
        <w:t>your</w:t>
      </w:r>
      <w:r w:rsidR="00BC50B9">
        <w:t xml:space="preserve"> Centre </w:t>
      </w:r>
      <w:r w:rsidR="0005715E">
        <w:t>supports the proposed Constitutional Review Process.</w:t>
      </w:r>
    </w:p>
    <w:p w14:paraId="378AB622" w14:textId="09339A06" w:rsidR="009E3339" w:rsidRDefault="009E3339">
      <w:r>
        <w:t>Members of the RDA Constitutional Review Working Party will be calling all Centres to discuss the proposed Process</w:t>
      </w:r>
      <w:r w:rsidR="002E58C3">
        <w:t>, and to answer questions.</w:t>
      </w:r>
    </w:p>
    <w:p w14:paraId="23D655E9" w14:textId="41868A82" w:rsidR="002A5F78" w:rsidRDefault="002A5F78">
      <w:r>
        <w:t xml:space="preserve">If, in the meantime, you have any questions, please feel free to contact </w:t>
      </w:r>
      <w:r w:rsidR="0047125C">
        <w:t xml:space="preserve">any of </w:t>
      </w:r>
      <w:r w:rsidR="007921A0">
        <w:t>the members of the Working Party listed below.</w:t>
      </w:r>
    </w:p>
    <w:p w14:paraId="7A01F292" w14:textId="77777777" w:rsidR="00772594" w:rsidRDefault="00772594"/>
    <w:p w14:paraId="70CE96DD" w14:textId="070CE845" w:rsidR="00E54833" w:rsidRDefault="00157BF1">
      <w:r>
        <w:t>Yours sincerely</w:t>
      </w:r>
      <w:r w:rsidR="00E54833">
        <w:br/>
      </w:r>
    </w:p>
    <w:p w14:paraId="6DDDF1D4" w14:textId="77777777" w:rsidR="00E54833" w:rsidRDefault="00E54833"/>
    <w:p w14:paraId="2FC7727C" w14:textId="2AB74E4C" w:rsidR="00157BF1" w:rsidRDefault="00157BF1">
      <w:r>
        <w:t>Name</w:t>
      </w:r>
      <w:r>
        <w:br/>
        <w:t>Centre Name</w:t>
      </w:r>
    </w:p>
    <w:p w14:paraId="5310B1BA" w14:textId="6835419D" w:rsidR="00C22A41" w:rsidRDefault="007830D9">
      <w:r>
        <w:t>o</w:t>
      </w:r>
      <w:r w:rsidR="00C22A41">
        <w:t>n behalf of the RDA Constitutional Review Working Party</w:t>
      </w:r>
    </w:p>
    <w:p w14:paraId="46E27C5F" w14:textId="2CE21648" w:rsidR="00142CB5" w:rsidRDefault="00B01D31">
      <w:r>
        <w:t>Attachments:</w:t>
      </w:r>
    </w:p>
    <w:p w14:paraId="02D43251" w14:textId="04A432E1" w:rsidR="00B01D31" w:rsidRDefault="00683257" w:rsidP="00683257">
      <w:pPr>
        <w:pStyle w:val="ListParagraph"/>
        <w:numPr>
          <w:ilvl w:val="0"/>
          <w:numId w:val="8"/>
        </w:numPr>
      </w:pPr>
      <w:r>
        <w:t>Letter of Support – for consideration by your Centre Committee</w:t>
      </w:r>
    </w:p>
    <w:p w14:paraId="097E3E1B" w14:textId="31111D30" w:rsidR="00683257" w:rsidRDefault="00683257" w:rsidP="00683257">
      <w:pPr>
        <w:pStyle w:val="ListParagraph"/>
        <w:numPr>
          <w:ilvl w:val="0"/>
          <w:numId w:val="8"/>
        </w:numPr>
      </w:pPr>
      <w:r>
        <w:t>Copy of Requisition Letter already submitted to the RDA NSW Board</w:t>
      </w:r>
    </w:p>
    <w:p w14:paraId="75F3BDFB" w14:textId="4F3ACFEB" w:rsidR="00345ABF" w:rsidRDefault="00345ABF" w:rsidP="00683257">
      <w:pPr>
        <w:pStyle w:val="ListParagraph"/>
        <w:numPr>
          <w:ilvl w:val="0"/>
          <w:numId w:val="8"/>
        </w:numPr>
      </w:pPr>
      <w:r>
        <w:t xml:space="preserve">Copy of </w:t>
      </w:r>
      <w:r w:rsidR="00927649">
        <w:t>Proposed Motions and the associated Rationale for those Motions</w:t>
      </w:r>
    </w:p>
    <w:p w14:paraId="31A2DFAD" w14:textId="2D834FE3" w:rsidR="00927649" w:rsidRDefault="00927649" w:rsidP="00683257">
      <w:pPr>
        <w:pStyle w:val="ListParagraph"/>
        <w:numPr>
          <w:ilvl w:val="0"/>
          <w:numId w:val="8"/>
        </w:numPr>
      </w:pPr>
      <w:r>
        <w:t>Proposed Timeline for the Constitutional Review Process</w:t>
      </w:r>
    </w:p>
    <w:p w14:paraId="0BA50FDC" w14:textId="4E6B4D68" w:rsidR="00927649" w:rsidRPr="00927649" w:rsidRDefault="0019617D" w:rsidP="00927649">
      <w:pPr>
        <w:rPr>
          <w:b/>
          <w:bCs/>
        </w:rPr>
      </w:pPr>
      <w:r>
        <w:rPr>
          <w:b/>
          <w:bCs/>
        </w:rPr>
        <w:t>Members of the RDA Constitutional Review Working Party</w:t>
      </w:r>
    </w:p>
    <w:tbl>
      <w:tblPr>
        <w:tblStyle w:val="TableGrid"/>
        <w:tblW w:w="0" w:type="auto"/>
        <w:tblLook w:val="04A0" w:firstRow="1" w:lastRow="0" w:firstColumn="1" w:lastColumn="0" w:noHBand="0" w:noVBand="1"/>
      </w:tblPr>
      <w:tblGrid>
        <w:gridCol w:w="4508"/>
        <w:gridCol w:w="4508"/>
      </w:tblGrid>
      <w:tr w:rsidR="00B01D31" w14:paraId="090FC016" w14:textId="77777777" w:rsidTr="00B01D31">
        <w:tc>
          <w:tcPr>
            <w:tcW w:w="4508" w:type="dxa"/>
          </w:tcPr>
          <w:p w14:paraId="39110423" w14:textId="7E10CA2F" w:rsidR="00B01D31" w:rsidRDefault="009052D5">
            <w:r>
              <w:t>Ron Marton</w:t>
            </w:r>
          </w:p>
          <w:p w14:paraId="6B11F35C" w14:textId="6C647FD9" w:rsidR="00EB1661" w:rsidRDefault="009052D5">
            <w:r>
              <w:t>RDA Ryde</w:t>
            </w:r>
          </w:p>
        </w:tc>
        <w:tc>
          <w:tcPr>
            <w:tcW w:w="4508" w:type="dxa"/>
          </w:tcPr>
          <w:p w14:paraId="42BA2492" w14:textId="2343BE0C" w:rsidR="00B01D31" w:rsidRDefault="004242B8">
            <w:r>
              <w:t>Desley Burns</w:t>
            </w:r>
          </w:p>
          <w:p w14:paraId="2AB1FBA5" w14:textId="71475142" w:rsidR="00EB1661" w:rsidRDefault="004242B8">
            <w:r>
              <w:t>RDA Tall Timbers Box Hill</w:t>
            </w:r>
          </w:p>
        </w:tc>
      </w:tr>
      <w:tr w:rsidR="00EB1661" w14:paraId="797EA090" w14:textId="77777777" w:rsidTr="001D2B23">
        <w:tc>
          <w:tcPr>
            <w:tcW w:w="4508" w:type="dxa"/>
          </w:tcPr>
          <w:p w14:paraId="71CFC770" w14:textId="612AA160" w:rsidR="00EB1661" w:rsidRDefault="00EC28AF" w:rsidP="001D2B23">
            <w:r>
              <w:t>Lesley Ann Clifton</w:t>
            </w:r>
          </w:p>
          <w:p w14:paraId="4B23073A" w14:textId="44B5C0B0" w:rsidR="00EB1661" w:rsidRDefault="00EC28AF" w:rsidP="001D2B23">
            <w:r>
              <w:t>RDA Raymond Terrace</w:t>
            </w:r>
          </w:p>
        </w:tc>
        <w:tc>
          <w:tcPr>
            <w:tcW w:w="4508" w:type="dxa"/>
          </w:tcPr>
          <w:p w14:paraId="19D91982" w14:textId="079B0F06" w:rsidR="00EB1661" w:rsidRDefault="00D16B3A" w:rsidP="001D2B23">
            <w:r>
              <w:t>Barry Davis</w:t>
            </w:r>
          </w:p>
          <w:p w14:paraId="38B4571C" w14:textId="7DFEFEF6" w:rsidR="00EB1661" w:rsidRDefault="00E4155F" w:rsidP="001D2B23">
            <w:r>
              <w:t xml:space="preserve">RDA </w:t>
            </w:r>
            <w:r w:rsidR="008423C7">
              <w:t>Blue Mountains</w:t>
            </w:r>
          </w:p>
        </w:tc>
      </w:tr>
      <w:tr w:rsidR="00EB1661" w14:paraId="4EF24CD4" w14:textId="77777777" w:rsidTr="001D2B23">
        <w:tc>
          <w:tcPr>
            <w:tcW w:w="4508" w:type="dxa"/>
          </w:tcPr>
          <w:p w14:paraId="09E2BAE3" w14:textId="46B0062D" w:rsidR="00EB1661" w:rsidRDefault="00D16B3A" w:rsidP="001D2B23">
            <w:r>
              <w:t>Allan Everett</w:t>
            </w:r>
          </w:p>
          <w:p w14:paraId="5A2852A2" w14:textId="0F7E950D" w:rsidR="00EB1661" w:rsidRDefault="00132F18" w:rsidP="001D2B23">
            <w:r>
              <w:t xml:space="preserve">RDA </w:t>
            </w:r>
            <w:r w:rsidR="00F8383B">
              <w:t>Orange</w:t>
            </w:r>
          </w:p>
        </w:tc>
        <w:tc>
          <w:tcPr>
            <w:tcW w:w="4508" w:type="dxa"/>
          </w:tcPr>
          <w:p w14:paraId="57F6E538" w14:textId="2D529EE8" w:rsidR="00EB1661" w:rsidRDefault="00226D85" w:rsidP="001D2B23">
            <w:r>
              <w:t>Helen Fauske</w:t>
            </w:r>
          </w:p>
          <w:p w14:paraId="35C4836A" w14:textId="097D8B71" w:rsidR="00EB1661" w:rsidRDefault="00226D85" w:rsidP="001D2B23">
            <w:r>
              <w:t>RDA Ballina</w:t>
            </w:r>
          </w:p>
        </w:tc>
      </w:tr>
      <w:tr w:rsidR="00EB1661" w14:paraId="0DA5BD8B" w14:textId="77777777" w:rsidTr="001D2B23">
        <w:tc>
          <w:tcPr>
            <w:tcW w:w="4508" w:type="dxa"/>
          </w:tcPr>
          <w:p w14:paraId="3AFF83D0" w14:textId="77777777" w:rsidR="0084165B" w:rsidRDefault="0084165B" w:rsidP="0084165B">
            <w:r>
              <w:t>Tina Clifton</w:t>
            </w:r>
          </w:p>
          <w:p w14:paraId="2C19B644" w14:textId="77708625" w:rsidR="00EB1661" w:rsidRDefault="0084165B" w:rsidP="0084165B">
            <w:r>
              <w:t>RDA Ryde Centre</w:t>
            </w:r>
          </w:p>
        </w:tc>
        <w:tc>
          <w:tcPr>
            <w:tcW w:w="4508" w:type="dxa"/>
          </w:tcPr>
          <w:p w14:paraId="717222B2" w14:textId="0F2A4CA3" w:rsidR="00EB1661" w:rsidRDefault="00380BF9" w:rsidP="001D2B23">
            <w:r>
              <w:t>Graeme Gulliver</w:t>
            </w:r>
          </w:p>
          <w:p w14:paraId="42A9F841" w14:textId="718D51AB" w:rsidR="00EB1661" w:rsidRDefault="00380BF9" w:rsidP="001D2B23">
            <w:r>
              <w:t>RDA Ballina</w:t>
            </w:r>
          </w:p>
        </w:tc>
      </w:tr>
      <w:tr w:rsidR="00EB1661" w14:paraId="0C89B5CF" w14:textId="77777777" w:rsidTr="001D2B23">
        <w:tc>
          <w:tcPr>
            <w:tcW w:w="4508" w:type="dxa"/>
          </w:tcPr>
          <w:p w14:paraId="2A652E80" w14:textId="46A7D400" w:rsidR="00EB1661" w:rsidRDefault="00380BF9" w:rsidP="001D2B23">
            <w:r>
              <w:t>Charles McClintock</w:t>
            </w:r>
          </w:p>
          <w:p w14:paraId="06B5B667" w14:textId="5940A5C2" w:rsidR="00EB1661" w:rsidRDefault="00283A2D" w:rsidP="001D2B23">
            <w:r>
              <w:t>RDA Wagga Wagga</w:t>
            </w:r>
          </w:p>
        </w:tc>
        <w:tc>
          <w:tcPr>
            <w:tcW w:w="4508" w:type="dxa"/>
          </w:tcPr>
          <w:p w14:paraId="04232EFD" w14:textId="7F2C7F17" w:rsidR="00EB1661" w:rsidRDefault="00283A2D" w:rsidP="001D2B23">
            <w:r>
              <w:t>Juliet MacFarlane</w:t>
            </w:r>
          </w:p>
          <w:p w14:paraId="54CE61C5" w14:textId="50C1DC37" w:rsidR="00EB1661" w:rsidRDefault="007E3727" w:rsidP="001D2B23">
            <w:r>
              <w:t>RDA Young</w:t>
            </w:r>
          </w:p>
        </w:tc>
      </w:tr>
      <w:tr w:rsidR="007E3727" w14:paraId="4C7771D1" w14:textId="77777777" w:rsidTr="001D2B23">
        <w:tc>
          <w:tcPr>
            <w:tcW w:w="4508" w:type="dxa"/>
          </w:tcPr>
          <w:p w14:paraId="0A2A7135" w14:textId="77777777" w:rsidR="007E3727" w:rsidRDefault="006E5079" w:rsidP="001D2B23">
            <w:r w:rsidRPr="006E5079">
              <w:t>Marg Pestell</w:t>
            </w:r>
          </w:p>
          <w:p w14:paraId="78CCF2A6" w14:textId="09DD881A" w:rsidR="006E5079" w:rsidRDefault="006E5079" w:rsidP="001D2B23">
            <w:r>
              <w:t>RDA Young</w:t>
            </w:r>
          </w:p>
        </w:tc>
        <w:tc>
          <w:tcPr>
            <w:tcW w:w="4508" w:type="dxa"/>
          </w:tcPr>
          <w:p w14:paraId="5A2AE497" w14:textId="77777777" w:rsidR="007E3727" w:rsidRDefault="006E5079" w:rsidP="001D2B23">
            <w:r>
              <w:t>Anna Rimac</w:t>
            </w:r>
          </w:p>
          <w:p w14:paraId="6985C8DB" w14:textId="2690A732" w:rsidR="006E5079" w:rsidRDefault="006E5079" w:rsidP="001D2B23">
            <w:r>
              <w:t>RDA Ballina</w:t>
            </w:r>
          </w:p>
        </w:tc>
      </w:tr>
      <w:tr w:rsidR="0034798A" w14:paraId="3A0E0461" w14:textId="77777777" w:rsidTr="001D2B23">
        <w:tc>
          <w:tcPr>
            <w:tcW w:w="4508" w:type="dxa"/>
          </w:tcPr>
          <w:p w14:paraId="47885E39" w14:textId="77777777" w:rsidR="0034798A" w:rsidRDefault="0034798A" w:rsidP="0034798A">
            <w:r>
              <w:t>Helen Strasser</w:t>
            </w:r>
          </w:p>
          <w:p w14:paraId="2C351568" w14:textId="3A881CD4" w:rsidR="0034798A" w:rsidRPr="006E5079" w:rsidRDefault="0034798A" w:rsidP="0034798A">
            <w:r>
              <w:t>RDA Ryde Centre</w:t>
            </w:r>
          </w:p>
        </w:tc>
        <w:tc>
          <w:tcPr>
            <w:tcW w:w="4508" w:type="dxa"/>
          </w:tcPr>
          <w:p w14:paraId="12C1169D" w14:textId="77777777" w:rsidR="0034798A" w:rsidRDefault="0034798A" w:rsidP="0034798A">
            <w:r>
              <w:t>Sue Wilson</w:t>
            </w:r>
          </w:p>
          <w:p w14:paraId="0B82F56D" w14:textId="148D5357" w:rsidR="0034798A" w:rsidRDefault="0034798A" w:rsidP="0034798A">
            <w:r>
              <w:t>RDA Tamworth</w:t>
            </w:r>
          </w:p>
        </w:tc>
      </w:tr>
    </w:tbl>
    <w:p w14:paraId="6046F297" w14:textId="6AA14D5B" w:rsidR="00912CE7" w:rsidRPr="005F156B" w:rsidRDefault="00912CE7">
      <w:r w:rsidRPr="005F156B">
        <w:br w:type="page"/>
      </w:r>
    </w:p>
    <w:p w14:paraId="3629CDD9" w14:textId="77777777" w:rsidR="003A1193" w:rsidRPr="003A1193" w:rsidRDefault="003A1193" w:rsidP="008E0B2A">
      <w:pPr>
        <w:jc w:val="center"/>
        <w:rPr>
          <w:b/>
          <w:bCs/>
          <w:sz w:val="16"/>
          <w:szCs w:val="16"/>
        </w:rPr>
      </w:pPr>
    </w:p>
    <w:p w14:paraId="73D3D7D8" w14:textId="73B65D64" w:rsidR="008E0B2A" w:rsidRPr="00972A96" w:rsidRDefault="00240856" w:rsidP="008E0B2A">
      <w:pPr>
        <w:jc w:val="center"/>
        <w:rPr>
          <w:b/>
          <w:bCs/>
        </w:rPr>
      </w:pPr>
      <w:r>
        <w:rPr>
          <w:b/>
          <w:bCs/>
        </w:rPr>
        <w:t xml:space="preserve">Letter </w:t>
      </w:r>
      <w:r w:rsidR="0068005F">
        <w:rPr>
          <w:b/>
          <w:bCs/>
        </w:rPr>
        <w:t xml:space="preserve">of </w:t>
      </w:r>
      <w:r w:rsidR="008E0B2A">
        <w:rPr>
          <w:b/>
          <w:bCs/>
        </w:rPr>
        <w:t>Support</w:t>
      </w:r>
      <w:r w:rsidR="0068005F">
        <w:rPr>
          <w:b/>
          <w:bCs/>
        </w:rPr>
        <w:t xml:space="preserve"> for</w:t>
      </w:r>
      <w:r w:rsidR="008E0B2A">
        <w:rPr>
          <w:b/>
          <w:bCs/>
        </w:rPr>
        <w:t xml:space="preserve"> the </w:t>
      </w:r>
      <w:r w:rsidR="008E0B2A" w:rsidRPr="00972A96">
        <w:rPr>
          <w:b/>
          <w:bCs/>
        </w:rPr>
        <w:t>Requisition to hold two (2) Special General Meetings</w:t>
      </w:r>
    </w:p>
    <w:p w14:paraId="727A1D22" w14:textId="44404066" w:rsidR="008E0B2A" w:rsidRDefault="006E4802" w:rsidP="008E0B2A">
      <w:r>
        <w:t>Our Centre</w:t>
      </w:r>
      <w:r w:rsidR="008E0B2A">
        <w:t xml:space="preserve"> support</w:t>
      </w:r>
      <w:r w:rsidR="00562381">
        <w:t>s</w:t>
      </w:r>
      <w:r w:rsidR="008E0B2A">
        <w:t xml:space="preserve"> the Requisition made to the Board </w:t>
      </w:r>
      <w:r w:rsidR="005A13BF">
        <w:t xml:space="preserve">under Clause 20.2 (a) </w:t>
      </w:r>
      <w:r w:rsidR="008E0B2A">
        <w:t>to call and arrange for two Special General Meetings of RDA NSW.</w:t>
      </w:r>
      <w:r w:rsidR="00E54833">
        <w:t xml:space="preserve"> </w:t>
      </w:r>
      <w:r w:rsidR="003F6EB8">
        <w:t xml:space="preserve">These meetings are </w:t>
      </w:r>
      <w:r w:rsidR="008E0B2A">
        <w:t>to</w:t>
      </w:r>
      <w:r w:rsidR="00E54833">
        <w:t xml:space="preserve"> be</w:t>
      </w:r>
      <w:r w:rsidR="008E0B2A">
        <w:t xml:space="preserve"> held according to the </w:t>
      </w:r>
      <w:r w:rsidR="0032636D">
        <w:t xml:space="preserve">‘Proposed </w:t>
      </w:r>
      <w:r w:rsidR="008E0B2A">
        <w:t>Timeline in the Constitutional Reform Process</w:t>
      </w:r>
      <w:r w:rsidR="0032636D">
        <w:t>’</w:t>
      </w:r>
      <w:r w:rsidR="008E0B2A">
        <w:t xml:space="preserve"> attached to th</w:t>
      </w:r>
      <w:r w:rsidR="008219FD">
        <w:t xml:space="preserve">e </w:t>
      </w:r>
      <w:r w:rsidR="00240856">
        <w:t>submitted</w:t>
      </w:r>
      <w:r w:rsidR="008E0B2A">
        <w:t xml:space="preserve"> Requisition.</w:t>
      </w:r>
    </w:p>
    <w:p w14:paraId="137F1BEE" w14:textId="2E3419A2" w:rsidR="000E4716" w:rsidRDefault="000E4716" w:rsidP="008E0B2A">
      <w:r>
        <w:t>We note that:</w:t>
      </w:r>
    </w:p>
    <w:p w14:paraId="6758ED2D" w14:textId="1882F88D" w:rsidR="0055001B" w:rsidRDefault="0055001B" w:rsidP="005E526F">
      <w:pPr>
        <w:pStyle w:val="ListParagraph"/>
        <w:numPr>
          <w:ilvl w:val="0"/>
          <w:numId w:val="1"/>
        </w:numPr>
        <w:ind w:left="709"/>
      </w:pPr>
      <w:r>
        <w:t xml:space="preserve">We have </w:t>
      </w:r>
      <w:r w:rsidR="00D95AC2">
        <w:t xml:space="preserve">received a copy of the </w:t>
      </w:r>
      <w:r w:rsidR="00763477">
        <w:t xml:space="preserve">Requisition </w:t>
      </w:r>
      <w:r w:rsidR="00562381">
        <w:t>Letter,</w:t>
      </w:r>
      <w:r w:rsidR="00763477">
        <w:t xml:space="preserve"> </w:t>
      </w:r>
      <w:r w:rsidR="00063724">
        <w:t xml:space="preserve">and </w:t>
      </w:r>
      <w:r w:rsidR="002F7E4A">
        <w:t xml:space="preserve">the </w:t>
      </w:r>
      <w:r w:rsidR="003B15EF">
        <w:t xml:space="preserve">relevant </w:t>
      </w:r>
      <w:r w:rsidR="00063724">
        <w:t xml:space="preserve">attachments </w:t>
      </w:r>
      <w:r w:rsidR="00562381">
        <w:t xml:space="preserve">that were </w:t>
      </w:r>
      <w:r w:rsidR="00763477">
        <w:t>sent to Board.</w:t>
      </w:r>
    </w:p>
    <w:p w14:paraId="3E886ADC" w14:textId="48C2A9FE" w:rsidR="00C07240" w:rsidRDefault="00C07240" w:rsidP="005E526F">
      <w:pPr>
        <w:pStyle w:val="ListParagraph"/>
        <w:numPr>
          <w:ilvl w:val="0"/>
          <w:numId w:val="1"/>
        </w:numPr>
        <w:ind w:left="709"/>
      </w:pPr>
      <w:r>
        <w:t>The key purposes of the two Special General Meetings are to implement a new, more effective organisational structure, under a new Constitution, that better serves the objectives of RDA NSW</w:t>
      </w:r>
      <w:r w:rsidR="00C95D05">
        <w:t>.</w:t>
      </w:r>
      <w:r>
        <w:t xml:space="preserve"> </w:t>
      </w:r>
      <w:r w:rsidR="00CD1417">
        <w:t>With</w:t>
      </w:r>
      <w:r>
        <w:t xml:space="preserve"> the adoption of a new Constitution, the current Board </w:t>
      </w:r>
      <w:r w:rsidR="00CD1417">
        <w:t xml:space="preserve">will </w:t>
      </w:r>
      <w:r w:rsidR="00D641BC">
        <w:t xml:space="preserve">all </w:t>
      </w:r>
      <w:r w:rsidR="00CD1417">
        <w:t xml:space="preserve">retire </w:t>
      </w:r>
      <w:r>
        <w:t xml:space="preserve">to allow </w:t>
      </w:r>
      <w:r w:rsidR="00495E44">
        <w:t>fresh</w:t>
      </w:r>
      <w:r>
        <w:t xml:space="preserve"> Board </w:t>
      </w:r>
      <w:r w:rsidR="00495E44">
        <w:t>elections</w:t>
      </w:r>
      <w:r w:rsidR="006353EE">
        <w:t>, with updated terms</w:t>
      </w:r>
      <w:r w:rsidR="00C33243">
        <w:t xml:space="preserve"> under the new Cons</w:t>
      </w:r>
      <w:r w:rsidR="00E54833">
        <w:t>t</w:t>
      </w:r>
      <w:r w:rsidR="00C33243">
        <w:t>itution</w:t>
      </w:r>
      <w:r>
        <w:t>.</w:t>
      </w:r>
    </w:p>
    <w:p w14:paraId="12785796" w14:textId="30384C15" w:rsidR="00C07240" w:rsidRDefault="00763477" w:rsidP="005E526F">
      <w:pPr>
        <w:pStyle w:val="ListParagraph"/>
        <w:numPr>
          <w:ilvl w:val="0"/>
          <w:numId w:val="1"/>
        </w:numPr>
        <w:ind w:left="709" w:right="-188"/>
      </w:pPr>
      <w:r>
        <w:t>T</w:t>
      </w:r>
      <w:r w:rsidR="00C07240">
        <w:t>he Members are convening an open Constitutional Review Workshop to understand the current Constitutional structure and to explore a more effective model that would better support the objectives of RDA NSW. We welcome the participation of all stakeholders, including Directors of the Board.</w:t>
      </w:r>
    </w:p>
    <w:p w14:paraId="2DC4CAEB" w14:textId="1C90D438" w:rsidR="00C07240" w:rsidRDefault="009B32B5" w:rsidP="005E526F">
      <w:pPr>
        <w:pStyle w:val="ListParagraph"/>
        <w:numPr>
          <w:ilvl w:val="0"/>
          <w:numId w:val="1"/>
        </w:numPr>
        <w:ind w:left="709"/>
      </w:pPr>
      <w:r>
        <w:t>A</w:t>
      </w:r>
      <w:r w:rsidR="00C07240">
        <w:t xml:space="preserve"> minimum of two Member Centres calling for </w:t>
      </w:r>
      <w:r>
        <w:t xml:space="preserve">a </w:t>
      </w:r>
      <w:r w:rsidR="00C07240">
        <w:t xml:space="preserve">Special General Meeting, meets the requirement under Clause 20.2 (a) of being the 5% of eligible Members needed to cause the Board to call and arrange Special General Meetings. The two </w:t>
      </w:r>
      <w:r w:rsidR="00580DBA">
        <w:t xml:space="preserve">names and </w:t>
      </w:r>
      <w:r w:rsidR="00C07240">
        <w:t>signatures</w:t>
      </w:r>
      <w:r w:rsidR="00396604">
        <w:t xml:space="preserve">, </w:t>
      </w:r>
      <w:r w:rsidR="00580DBA">
        <w:t>representing</w:t>
      </w:r>
      <w:r w:rsidR="00396604">
        <w:t xml:space="preserve"> their Member </w:t>
      </w:r>
      <w:r w:rsidR="00E54833">
        <w:t>Centre, applied</w:t>
      </w:r>
      <w:r w:rsidR="00BD329F">
        <w:t xml:space="preserve"> to the Requisition Letter</w:t>
      </w:r>
      <w:r w:rsidR="008F11C9">
        <w:t>,</w:t>
      </w:r>
      <w:r w:rsidR="00C07240">
        <w:t xml:space="preserve"> indicate</w:t>
      </w:r>
      <w:r w:rsidR="008F11C9">
        <w:t>s</w:t>
      </w:r>
      <w:r w:rsidR="00C07240">
        <w:t xml:space="preserve"> that the </w:t>
      </w:r>
      <w:r w:rsidR="008F11C9">
        <w:t>Constitution</w:t>
      </w:r>
      <w:r w:rsidR="000E71B1">
        <w:t>al</w:t>
      </w:r>
      <w:r w:rsidR="008F11C9">
        <w:t xml:space="preserve"> </w:t>
      </w:r>
      <w:r w:rsidR="00C07240">
        <w:t>requirement has been met.</w:t>
      </w:r>
    </w:p>
    <w:p w14:paraId="71A96067" w14:textId="0CB5D2D9" w:rsidR="00C07240" w:rsidRDefault="008F11C9" w:rsidP="005E526F">
      <w:pPr>
        <w:pStyle w:val="ListParagraph"/>
        <w:numPr>
          <w:ilvl w:val="0"/>
          <w:numId w:val="1"/>
        </w:numPr>
        <w:ind w:left="709"/>
      </w:pPr>
      <w:r>
        <w:t>A</w:t>
      </w:r>
      <w:r w:rsidR="00C07240">
        <w:t xml:space="preserve">ll the Motions that have been proposed for the two Special General Meetings meet the requirements of Clause 18.1 (a) for classification as General Business. As such, there is no requirement for 45 </w:t>
      </w:r>
      <w:proofErr w:type="spellStart"/>
      <w:r w:rsidR="00C07240">
        <w:t>days notice</w:t>
      </w:r>
      <w:proofErr w:type="spellEnd"/>
      <w:r w:rsidR="00C07240">
        <w:t xml:space="preserve"> (Clause 19), as none of the proposed Motions meet the definition of ‘Special Business’.</w:t>
      </w:r>
    </w:p>
    <w:p w14:paraId="09E430C1" w14:textId="7F90568C" w:rsidR="00C07240" w:rsidRDefault="008F11C9" w:rsidP="005E526F">
      <w:pPr>
        <w:pStyle w:val="ListParagraph"/>
        <w:numPr>
          <w:ilvl w:val="0"/>
          <w:numId w:val="1"/>
        </w:numPr>
        <w:ind w:left="709"/>
      </w:pPr>
      <w:r>
        <w:t>T</w:t>
      </w:r>
      <w:r w:rsidR="00C07240">
        <w:t>he Board can support this necessary process within the proposed Timeline by using its powers under Clause 20.1 of the Constitution to, “</w:t>
      </w:r>
      <w:r w:rsidR="00C07240" w:rsidRPr="001D7C5C">
        <w:t>whenever it thinks fit, convene a Special General Meeting of the Company</w:t>
      </w:r>
      <w:r w:rsidR="00C07240">
        <w:t>”</w:t>
      </w:r>
    </w:p>
    <w:p w14:paraId="110C50C9" w14:textId="0154A6AD" w:rsidR="008E0B2A" w:rsidRDefault="008F11C9" w:rsidP="00C06AD9">
      <w:pPr>
        <w:pStyle w:val="ListParagraph"/>
        <w:numPr>
          <w:ilvl w:val="0"/>
          <w:numId w:val="1"/>
        </w:numPr>
        <w:ind w:left="709"/>
      </w:pPr>
      <w:r>
        <w:t>The</w:t>
      </w:r>
      <w:r w:rsidR="00C07240">
        <w:t xml:space="preserve"> call for the SGM requisitioned by the Ballina Centre, and the matters to be dealt with under that requisition, </w:t>
      </w:r>
      <w:r>
        <w:t>should</w:t>
      </w:r>
      <w:r w:rsidR="00C07240">
        <w:t xml:space="preserve"> be added to the beginning of the Agenda of SGM1 that th</w:t>
      </w:r>
      <w:r>
        <w:t>e</w:t>
      </w:r>
      <w:r w:rsidR="00C07240">
        <w:t xml:space="preserve"> </w:t>
      </w:r>
      <w:r>
        <w:t>R</w:t>
      </w:r>
      <w:r w:rsidR="00C07240">
        <w:t xml:space="preserve">equisition </w:t>
      </w:r>
      <w:r>
        <w:t xml:space="preserve">Letter </w:t>
      </w:r>
      <w:r w:rsidR="00C07240">
        <w:t>calls for.</w:t>
      </w:r>
    </w:p>
    <w:tbl>
      <w:tblPr>
        <w:tblStyle w:val="TableGrid"/>
        <w:tblW w:w="9209" w:type="dxa"/>
        <w:tblLook w:val="04A0" w:firstRow="1" w:lastRow="0" w:firstColumn="1" w:lastColumn="0" w:noHBand="0" w:noVBand="1"/>
      </w:tblPr>
      <w:tblGrid>
        <w:gridCol w:w="2205"/>
        <w:gridCol w:w="2534"/>
        <w:gridCol w:w="2880"/>
        <w:gridCol w:w="1590"/>
      </w:tblGrid>
      <w:tr w:rsidR="008E0B2A" w:rsidRPr="00077C35" w14:paraId="45C77EC6" w14:textId="77777777" w:rsidTr="00552C1D">
        <w:tc>
          <w:tcPr>
            <w:tcW w:w="2205" w:type="dxa"/>
            <w:vAlign w:val="center"/>
          </w:tcPr>
          <w:p w14:paraId="2083E87E" w14:textId="77777777" w:rsidR="008E0B2A" w:rsidRPr="00077C35" w:rsidRDefault="008E0B2A" w:rsidP="00552C1D">
            <w:pPr>
              <w:rPr>
                <w:b/>
                <w:bCs/>
              </w:rPr>
            </w:pPr>
            <w:r>
              <w:rPr>
                <w:b/>
                <w:bCs/>
              </w:rPr>
              <w:t>Centre Name</w:t>
            </w:r>
          </w:p>
        </w:tc>
        <w:tc>
          <w:tcPr>
            <w:tcW w:w="2534" w:type="dxa"/>
          </w:tcPr>
          <w:p w14:paraId="7F7AE975" w14:textId="3A775066" w:rsidR="008E0B2A" w:rsidRPr="00077C35" w:rsidRDefault="00E0433D" w:rsidP="00552C1D">
            <w:pPr>
              <w:rPr>
                <w:b/>
                <w:bCs/>
              </w:rPr>
            </w:pPr>
            <w:r>
              <w:rPr>
                <w:b/>
                <w:bCs/>
              </w:rPr>
              <w:t xml:space="preserve">Name of </w:t>
            </w:r>
            <w:r w:rsidR="008E0B2A">
              <w:rPr>
                <w:b/>
                <w:bCs/>
              </w:rPr>
              <w:t>Centre representative</w:t>
            </w:r>
          </w:p>
        </w:tc>
        <w:tc>
          <w:tcPr>
            <w:tcW w:w="2880" w:type="dxa"/>
            <w:vAlign w:val="center"/>
          </w:tcPr>
          <w:p w14:paraId="295B3CD8" w14:textId="77777777" w:rsidR="008E0B2A" w:rsidRPr="00077C35" w:rsidRDefault="008E0B2A" w:rsidP="00552C1D">
            <w:pPr>
              <w:jc w:val="center"/>
              <w:rPr>
                <w:b/>
                <w:bCs/>
              </w:rPr>
            </w:pPr>
            <w:r>
              <w:rPr>
                <w:b/>
                <w:bCs/>
              </w:rPr>
              <w:t>Signature</w:t>
            </w:r>
          </w:p>
        </w:tc>
        <w:tc>
          <w:tcPr>
            <w:tcW w:w="1590" w:type="dxa"/>
            <w:vAlign w:val="center"/>
          </w:tcPr>
          <w:p w14:paraId="2C39F061" w14:textId="77777777" w:rsidR="008E0B2A" w:rsidRDefault="008E0B2A" w:rsidP="00552C1D">
            <w:pPr>
              <w:jc w:val="center"/>
              <w:rPr>
                <w:b/>
                <w:bCs/>
              </w:rPr>
            </w:pPr>
            <w:r>
              <w:rPr>
                <w:b/>
                <w:bCs/>
              </w:rPr>
              <w:t>Date</w:t>
            </w:r>
          </w:p>
        </w:tc>
      </w:tr>
      <w:tr w:rsidR="008E0B2A" w14:paraId="721A5C08" w14:textId="77777777" w:rsidTr="00552C1D">
        <w:tc>
          <w:tcPr>
            <w:tcW w:w="2205" w:type="dxa"/>
          </w:tcPr>
          <w:p w14:paraId="11573AFD" w14:textId="77777777" w:rsidR="008E0B2A" w:rsidRDefault="008E0B2A" w:rsidP="00552C1D"/>
          <w:p w14:paraId="5A7EB335" w14:textId="77777777" w:rsidR="008E0B2A" w:rsidRDefault="008E0B2A" w:rsidP="00552C1D"/>
          <w:p w14:paraId="49ADD40A" w14:textId="77777777" w:rsidR="008E0B2A" w:rsidRDefault="008E0B2A" w:rsidP="00552C1D"/>
        </w:tc>
        <w:tc>
          <w:tcPr>
            <w:tcW w:w="2534" w:type="dxa"/>
          </w:tcPr>
          <w:p w14:paraId="2CAC7108" w14:textId="77777777" w:rsidR="008E0B2A" w:rsidRDefault="008E0B2A" w:rsidP="00552C1D"/>
        </w:tc>
        <w:tc>
          <w:tcPr>
            <w:tcW w:w="2880" w:type="dxa"/>
          </w:tcPr>
          <w:p w14:paraId="6E78FADF" w14:textId="77777777" w:rsidR="008E0B2A" w:rsidRDefault="008E0B2A" w:rsidP="00552C1D"/>
        </w:tc>
        <w:tc>
          <w:tcPr>
            <w:tcW w:w="1590" w:type="dxa"/>
            <w:vAlign w:val="center"/>
          </w:tcPr>
          <w:p w14:paraId="323D3B58" w14:textId="2D519AD9" w:rsidR="008E0B2A" w:rsidRDefault="008E0B2A" w:rsidP="00552C1D">
            <w:pPr>
              <w:jc w:val="center"/>
            </w:pPr>
            <w:r>
              <w:t>____/0</w:t>
            </w:r>
            <w:r w:rsidR="009E3C38">
              <w:t>9</w:t>
            </w:r>
            <w:r>
              <w:t>/2024</w:t>
            </w:r>
          </w:p>
        </w:tc>
      </w:tr>
    </w:tbl>
    <w:p w14:paraId="62EDE4F1" w14:textId="0DA00707" w:rsidR="005739F8" w:rsidRDefault="005739F8" w:rsidP="008E0B2A"/>
    <w:sectPr w:rsidR="005739F8" w:rsidSect="003A1193">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927E9" w14:textId="77777777" w:rsidR="005D6741" w:rsidRDefault="005D6741" w:rsidP="006D3CA7">
      <w:pPr>
        <w:spacing w:after="0" w:line="240" w:lineRule="auto"/>
      </w:pPr>
      <w:r>
        <w:separator/>
      </w:r>
    </w:p>
  </w:endnote>
  <w:endnote w:type="continuationSeparator" w:id="0">
    <w:p w14:paraId="3E85A254" w14:textId="77777777" w:rsidR="005D6741" w:rsidRDefault="005D6741" w:rsidP="006D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5362" w14:textId="77777777" w:rsidR="005D6741" w:rsidRDefault="005D6741" w:rsidP="006D3CA7">
      <w:pPr>
        <w:spacing w:after="0" w:line="240" w:lineRule="auto"/>
      </w:pPr>
      <w:r>
        <w:separator/>
      </w:r>
    </w:p>
  </w:footnote>
  <w:footnote w:type="continuationSeparator" w:id="0">
    <w:p w14:paraId="5F5EB6D1" w14:textId="77777777" w:rsidR="005D6741" w:rsidRDefault="005D6741" w:rsidP="006D3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C6A62" w14:textId="77777777" w:rsidR="006D3CA7" w:rsidRDefault="006D3CA7" w:rsidP="006D3CA7">
    <w:pPr>
      <w:pStyle w:val="Header"/>
      <w:rPr>
        <w:b/>
        <w:bCs/>
        <w:sz w:val="36"/>
        <w:szCs w:val="36"/>
      </w:rPr>
    </w:pPr>
    <w:r w:rsidRPr="009015A4">
      <w:rPr>
        <w:noProof/>
        <w:sz w:val="36"/>
        <w:szCs w:val="36"/>
      </w:rPr>
      <w:drawing>
        <wp:anchor distT="0" distB="0" distL="114300" distR="114300" simplePos="0" relativeHeight="251659264" behindDoc="0" locked="0" layoutInCell="1" allowOverlap="1" wp14:anchorId="34528CE6" wp14:editId="5DF42F6A">
          <wp:simplePos x="0" y="0"/>
          <wp:positionH relativeFrom="column">
            <wp:posOffset>4673600</wp:posOffset>
          </wp:positionH>
          <wp:positionV relativeFrom="paragraph">
            <wp:posOffset>-314960</wp:posOffset>
          </wp:positionV>
          <wp:extent cx="1301750" cy="1046221"/>
          <wp:effectExtent l="0" t="0" r="0" b="0"/>
          <wp:wrapNone/>
          <wp:docPr id="1168747807" name="Picture 1" descr="A white rectangular sign with a hors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74690" name="Picture 1" descr="A white rectangular sign with a hors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1046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15A4">
      <w:rPr>
        <w:b/>
        <w:bCs/>
        <w:sz w:val="36"/>
        <w:szCs w:val="36"/>
      </w:rPr>
      <w:t xml:space="preserve">RDA Constitutional </w:t>
    </w:r>
    <w:r>
      <w:rPr>
        <w:b/>
        <w:bCs/>
        <w:sz w:val="36"/>
        <w:szCs w:val="36"/>
      </w:rPr>
      <w:t>Review Working Party</w:t>
    </w:r>
  </w:p>
  <w:p w14:paraId="2D69E800" w14:textId="77777777" w:rsidR="006D3CA7" w:rsidRDefault="006D3CA7" w:rsidP="006D3CA7">
    <w:pPr>
      <w:pStyle w:val="Header"/>
      <w:rPr>
        <w:b/>
        <w:bCs/>
        <w:sz w:val="16"/>
        <w:szCs w:val="16"/>
      </w:rPr>
    </w:pPr>
    <w:r w:rsidRPr="002050EA">
      <w:rPr>
        <w:b/>
        <w:bCs/>
        <w:sz w:val="16"/>
        <w:szCs w:val="16"/>
      </w:rPr>
      <w:tab/>
    </w:r>
  </w:p>
  <w:p w14:paraId="52F61CE5" w14:textId="77777777" w:rsidR="006D3CA7" w:rsidRPr="00E61D37" w:rsidRDefault="006D3CA7" w:rsidP="006D3CA7">
    <w:pPr>
      <w:pStyle w:val="Header"/>
      <w:rPr>
        <w:b/>
        <w:bCs/>
        <w:sz w:val="16"/>
        <w:szCs w:val="16"/>
      </w:rPr>
    </w:pPr>
  </w:p>
  <w:p w14:paraId="46BF4F50" w14:textId="77777777" w:rsidR="006D3CA7" w:rsidRPr="001D2B23" w:rsidRDefault="006D3CA7" w:rsidP="006D3CA7">
    <w:pPr>
      <w:pStyle w:val="Heade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55A9"/>
    <w:multiLevelType w:val="hybridMultilevel"/>
    <w:tmpl w:val="29D8A862"/>
    <w:lvl w:ilvl="0" w:tplc="47785632">
      <w:start w:val="6"/>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5605D"/>
    <w:multiLevelType w:val="hybridMultilevel"/>
    <w:tmpl w:val="437C3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EC3905"/>
    <w:multiLevelType w:val="hybridMultilevel"/>
    <w:tmpl w:val="453EA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4F1557"/>
    <w:multiLevelType w:val="hybridMultilevel"/>
    <w:tmpl w:val="E9089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F681F"/>
    <w:multiLevelType w:val="hybridMultilevel"/>
    <w:tmpl w:val="81449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245588"/>
    <w:multiLevelType w:val="hybridMultilevel"/>
    <w:tmpl w:val="3F6C9DE8"/>
    <w:lvl w:ilvl="0" w:tplc="FFFFFFFF">
      <w:start w:val="1"/>
      <w:numFmt w:val="decimal"/>
      <w:lvlText w:val="%1."/>
      <w:lvlJc w:val="left"/>
      <w:pPr>
        <w:ind w:left="16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BC466A"/>
    <w:multiLevelType w:val="hybridMultilevel"/>
    <w:tmpl w:val="ABB61696"/>
    <w:lvl w:ilvl="0" w:tplc="FFFFFFFF">
      <w:start w:val="1"/>
      <w:numFmt w:val="decimal"/>
      <w:lvlText w:val="%1."/>
      <w:lvlJc w:val="left"/>
      <w:pPr>
        <w:ind w:left="1640" w:hanging="360"/>
      </w:pPr>
      <w:rPr>
        <w:rFonts w:hint="default"/>
      </w:rPr>
    </w:lvl>
    <w:lvl w:ilvl="1" w:tplc="FFFFFFFF">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7" w15:restartNumberingAfterBreak="0">
    <w:nsid w:val="5A3F5A86"/>
    <w:multiLevelType w:val="hybridMultilevel"/>
    <w:tmpl w:val="3F6C9DE8"/>
    <w:lvl w:ilvl="0" w:tplc="E4868098">
      <w:start w:val="1"/>
      <w:numFmt w:val="decimal"/>
      <w:lvlText w:val="%1."/>
      <w:lvlJc w:val="left"/>
      <w:pPr>
        <w:ind w:left="16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2460165">
    <w:abstractNumId w:val="5"/>
  </w:num>
  <w:num w:numId="2" w16cid:durableId="1574269871">
    <w:abstractNumId w:val="3"/>
  </w:num>
  <w:num w:numId="3" w16cid:durableId="430511946">
    <w:abstractNumId w:val="6"/>
  </w:num>
  <w:num w:numId="4" w16cid:durableId="1361663616">
    <w:abstractNumId w:val="2"/>
  </w:num>
  <w:num w:numId="5" w16cid:durableId="2004971958">
    <w:abstractNumId w:val="4"/>
  </w:num>
  <w:num w:numId="6" w16cid:durableId="362676767">
    <w:abstractNumId w:val="1"/>
  </w:num>
  <w:num w:numId="7" w16cid:durableId="2001806096">
    <w:abstractNumId w:val="7"/>
  </w:num>
  <w:num w:numId="8" w16cid:durableId="78311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F8"/>
    <w:rsid w:val="00025139"/>
    <w:rsid w:val="00034B57"/>
    <w:rsid w:val="00040F07"/>
    <w:rsid w:val="0005715E"/>
    <w:rsid w:val="00063724"/>
    <w:rsid w:val="000D4306"/>
    <w:rsid w:val="000E4716"/>
    <w:rsid w:val="000E71B1"/>
    <w:rsid w:val="00102A30"/>
    <w:rsid w:val="001121BD"/>
    <w:rsid w:val="00132F18"/>
    <w:rsid w:val="00142CB5"/>
    <w:rsid w:val="00157BF1"/>
    <w:rsid w:val="00182CDB"/>
    <w:rsid w:val="00192724"/>
    <w:rsid w:val="0019617D"/>
    <w:rsid w:val="001973F4"/>
    <w:rsid w:val="001E17D6"/>
    <w:rsid w:val="00226D85"/>
    <w:rsid w:val="002304CF"/>
    <w:rsid w:val="00240856"/>
    <w:rsid w:val="00283A2D"/>
    <w:rsid w:val="002941C9"/>
    <w:rsid w:val="00296098"/>
    <w:rsid w:val="002A5F78"/>
    <w:rsid w:val="002A6C98"/>
    <w:rsid w:val="002C03AD"/>
    <w:rsid w:val="002D6900"/>
    <w:rsid w:val="002E58C3"/>
    <w:rsid w:val="002F7E4A"/>
    <w:rsid w:val="0032180F"/>
    <w:rsid w:val="0032636D"/>
    <w:rsid w:val="00332F67"/>
    <w:rsid w:val="00345ABF"/>
    <w:rsid w:val="003471F6"/>
    <w:rsid w:val="0034798A"/>
    <w:rsid w:val="00352625"/>
    <w:rsid w:val="003554ED"/>
    <w:rsid w:val="00356BD7"/>
    <w:rsid w:val="00366A8A"/>
    <w:rsid w:val="00374371"/>
    <w:rsid w:val="00380BF9"/>
    <w:rsid w:val="00396604"/>
    <w:rsid w:val="003A1193"/>
    <w:rsid w:val="003A2045"/>
    <w:rsid w:val="003B15EF"/>
    <w:rsid w:val="003C02C5"/>
    <w:rsid w:val="003E61D2"/>
    <w:rsid w:val="003F6EB8"/>
    <w:rsid w:val="004242B8"/>
    <w:rsid w:val="00432F7F"/>
    <w:rsid w:val="00466505"/>
    <w:rsid w:val="0047125C"/>
    <w:rsid w:val="00495E44"/>
    <w:rsid w:val="004966C9"/>
    <w:rsid w:val="004B4D34"/>
    <w:rsid w:val="004D4734"/>
    <w:rsid w:val="0050257E"/>
    <w:rsid w:val="0055001B"/>
    <w:rsid w:val="00562381"/>
    <w:rsid w:val="005739F8"/>
    <w:rsid w:val="00574956"/>
    <w:rsid w:val="00576BD1"/>
    <w:rsid w:val="00580DBA"/>
    <w:rsid w:val="00590B29"/>
    <w:rsid w:val="005A13BF"/>
    <w:rsid w:val="005C3CA6"/>
    <w:rsid w:val="005D6741"/>
    <w:rsid w:val="005E122B"/>
    <w:rsid w:val="005E526F"/>
    <w:rsid w:val="005F156B"/>
    <w:rsid w:val="00623CDC"/>
    <w:rsid w:val="006335D9"/>
    <w:rsid w:val="006353EE"/>
    <w:rsid w:val="00637C6E"/>
    <w:rsid w:val="0068005F"/>
    <w:rsid w:val="00683257"/>
    <w:rsid w:val="006A32CE"/>
    <w:rsid w:val="006B21D6"/>
    <w:rsid w:val="006B2464"/>
    <w:rsid w:val="006B4397"/>
    <w:rsid w:val="006B7159"/>
    <w:rsid w:val="006C3A73"/>
    <w:rsid w:val="006D3CA7"/>
    <w:rsid w:val="006E4802"/>
    <w:rsid w:val="006E5079"/>
    <w:rsid w:val="00746433"/>
    <w:rsid w:val="00750155"/>
    <w:rsid w:val="00761A5D"/>
    <w:rsid w:val="00763477"/>
    <w:rsid w:val="00772594"/>
    <w:rsid w:val="007830D9"/>
    <w:rsid w:val="007921A0"/>
    <w:rsid w:val="007A07A3"/>
    <w:rsid w:val="007B170E"/>
    <w:rsid w:val="007C79CF"/>
    <w:rsid w:val="007E3727"/>
    <w:rsid w:val="007F4897"/>
    <w:rsid w:val="00812F5B"/>
    <w:rsid w:val="008219FD"/>
    <w:rsid w:val="0084165B"/>
    <w:rsid w:val="008420AF"/>
    <w:rsid w:val="008423C7"/>
    <w:rsid w:val="008450A1"/>
    <w:rsid w:val="008466A3"/>
    <w:rsid w:val="00855120"/>
    <w:rsid w:val="008649D9"/>
    <w:rsid w:val="008C6DE2"/>
    <w:rsid w:val="008E0B2A"/>
    <w:rsid w:val="008F11C9"/>
    <w:rsid w:val="009052D5"/>
    <w:rsid w:val="00912CE7"/>
    <w:rsid w:val="00924A47"/>
    <w:rsid w:val="00927649"/>
    <w:rsid w:val="00937F3F"/>
    <w:rsid w:val="00951C77"/>
    <w:rsid w:val="00995C7B"/>
    <w:rsid w:val="009B1EE6"/>
    <w:rsid w:val="009B32B5"/>
    <w:rsid w:val="009E3339"/>
    <w:rsid w:val="009E3C38"/>
    <w:rsid w:val="009F2C01"/>
    <w:rsid w:val="009F3ECE"/>
    <w:rsid w:val="00A11479"/>
    <w:rsid w:val="00A442D0"/>
    <w:rsid w:val="00A457B4"/>
    <w:rsid w:val="00A62AF8"/>
    <w:rsid w:val="00A74130"/>
    <w:rsid w:val="00A761E9"/>
    <w:rsid w:val="00AB59A0"/>
    <w:rsid w:val="00AD2491"/>
    <w:rsid w:val="00B01D31"/>
    <w:rsid w:val="00B61001"/>
    <w:rsid w:val="00B853D2"/>
    <w:rsid w:val="00BB17A7"/>
    <w:rsid w:val="00BB5ACA"/>
    <w:rsid w:val="00BC50B9"/>
    <w:rsid w:val="00BD329F"/>
    <w:rsid w:val="00C06AD9"/>
    <w:rsid w:val="00C07240"/>
    <w:rsid w:val="00C20A8A"/>
    <w:rsid w:val="00C22A41"/>
    <w:rsid w:val="00C33243"/>
    <w:rsid w:val="00C45E2A"/>
    <w:rsid w:val="00C56F4C"/>
    <w:rsid w:val="00C60FFE"/>
    <w:rsid w:val="00C61EBD"/>
    <w:rsid w:val="00C713AD"/>
    <w:rsid w:val="00C71ECA"/>
    <w:rsid w:val="00C95D05"/>
    <w:rsid w:val="00CB23B6"/>
    <w:rsid w:val="00CD1417"/>
    <w:rsid w:val="00CE6831"/>
    <w:rsid w:val="00D03C48"/>
    <w:rsid w:val="00D1281C"/>
    <w:rsid w:val="00D16B3A"/>
    <w:rsid w:val="00D50C90"/>
    <w:rsid w:val="00D641BC"/>
    <w:rsid w:val="00D708DF"/>
    <w:rsid w:val="00D74A43"/>
    <w:rsid w:val="00D81BB2"/>
    <w:rsid w:val="00D95AC2"/>
    <w:rsid w:val="00DB4DFE"/>
    <w:rsid w:val="00E0433D"/>
    <w:rsid w:val="00E231EB"/>
    <w:rsid w:val="00E4155F"/>
    <w:rsid w:val="00E51D6C"/>
    <w:rsid w:val="00E54833"/>
    <w:rsid w:val="00E57D27"/>
    <w:rsid w:val="00EB1661"/>
    <w:rsid w:val="00EC28AF"/>
    <w:rsid w:val="00EC31A4"/>
    <w:rsid w:val="00F06F69"/>
    <w:rsid w:val="00F147EA"/>
    <w:rsid w:val="00F17E43"/>
    <w:rsid w:val="00F34824"/>
    <w:rsid w:val="00F8383B"/>
    <w:rsid w:val="00FE54A9"/>
    <w:rsid w:val="00FF021A"/>
    <w:rsid w:val="00FF2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63CD"/>
  <w15:chartTrackingRefBased/>
  <w15:docId w15:val="{8406A6FA-FADF-4CE5-AFC2-FC2FF9B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2A"/>
  </w:style>
  <w:style w:type="paragraph" w:styleId="Heading1">
    <w:name w:val="heading 1"/>
    <w:basedOn w:val="Normal"/>
    <w:next w:val="Normal"/>
    <w:link w:val="Heading1Char"/>
    <w:uiPriority w:val="9"/>
    <w:qFormat/>
    <w:rsid w:val="00573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3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3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9F8"/>
    <w:rPr>
      <w:rFonts w:eastAsiaTheme="majorEastAsia" w:cstheme="majorBidi"/>
      <w:color w:val="272727" w:themeColor="text1" w:themeTint="D8"/>
    </w:rPr>
  </w:style>
  <w:style w:type="paragraph" w:styleId="Title">
    <w:name w:val="Title"/>
    <w:basedOn w:val="Normal"/>
    <w:next w:val="Normal"/>
    <w:link w:val="TitleChar"/>
    <w:uiPriority w:val="10"/>
    <w:qFormat/>
    <w:rsid w:val="00573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9F8"/>
    <w:pPr>
      <w:spacing w:before="160"/>
      <w:jc w:val="center"/>
    </w:pPr>
    <w:rPr>
      <w:i/>
      <w:iCs/>
      <w:color w:val="404040" w:themeColor="text1" w:themeTint="BF"/>
    </w:rPr>
  </w:style>
  <w:style w:type="character" w:customStyle="1" w:styleId="QuoteChar">
    <w:name w:val="Quote Char"/>
    <w:basedOn w:val="DefaultParagraphFont"/>
    <w:link w:val="Quote"/>
    <w:uiPriority w:val="29"/>
    <w:rsid w:val="005739F8"/>
    <w:rPr>
      <w:i/>
      <w:iCs/>
      <w:color w:val="404040" w:themeColor="text1" w:themeTint="BF"/>
    </w:rPr>
  </w:style>
  <w:style w:type="paragraph" w:styleId="ListParagraph">
    <w:name w:val="List Paragraph"/>
    <w:basedOn w:val="Normal"/>
    <w:uiPriority w:val="34"/>
    <w:qFormat/>
    <w:rsid w:val="005739F8"/>
    <w:pPr>
      <w:ind w:left="720"/>
      <w:contextualSpacing/>
    </w:pPr>
  </w:style>
  <w:style w:type="character" w:styleId="IntenseEmphasis">
    <w:name w:val="Intense Emphasis"/>
    <w:basedOn w:val="DefaultParagraphFont"/>
    <w:uiPriority w:val="21"/>
    <w:qFormat/>
    <w:rsid w:val="005739F8"/>
    <w:rPr>
      <w:i/>
      <w:iCs/>
      <w:color w:val="0F4761" w:themeColor="accent1" w:themeShade="BF"/>
    </w:rPr>
  </w:style>
  <w:style w:type="paragraph" w:styleId="IntenseQuote">
    <w:name w:val="Intense Quote"/>
    <w:basedOn w:val="Normal"/>
    <w:next w:val="Normal"/>
    <w:link w:val="IntenseQuoteChar"/>
    <w:uiPriority w:val="30"/>
    <w:qFormat/>
    <w:rsid w:val="00573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9F8"/>
    <w:rPr>
      <w:i/>
      <w:iCs/>
      <w:color w:val="0F4761" w:themeColor="accent1" w:themeShade="BF"/>
    </w:rPr>
  </w:style>
  <w:style w:type="character" w:styleId="IntenseReference">
    <w:name w:val="Intense Reference"/>
    <w:basedOn w:val="DefaultParagraphFont"/>
    <w:uiPriority w:val="32"/>
    <w:qFormat/>
    <w:rsid w:val="005739F8"/>
    <w:rPr>
      <w:b/>
      <w:bCs/>
      <w:smallCaps/>
      <w:color w:val="0F4761" w:themeColor="accent1" w:themeShade="BF"/>
      <w:spacing w:val="5"/>
    </w:rPr>
  </w:style>
  <w:style w:type="table" w:styleId="TableGrid">
    <w:name w:val="Table Grid"/>
    <w:basedOn w:val="TableNormal"/>
    <w:uiPriority w:val="39"/>
    <w:rsid w:val="008E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23B6"/>
    <w:rPr>
      <w:sz w:val="16"/>
      <w:szCs w:val="16"/>
    </w:rPr>
  </w:style>
  <w:style w:type="paragraph" w:styleId="CommentText">
    <w:name w:val="annotation text"/>
    <w:basedOn w:val="Normal"/>
    <w:link w:val="CommentTextChar"/>
    <w:uiPriority w:val="99"/>
    <w:unhideWhenUsed/>
    <w:rsid w:val="00CB23B6"/>
    <w:pPr>
      <w:spacing w:line="240" w:lineRule="auto"/>
    </w:pPr>
    <w:rPr>
      <w:sz w:val="20"/>
      <w:szCs w:val="20"/>
    </w:rPr>
  </w:style>
  <w:style w:type="character" w:customStyle="1" w:styleId="CommentTextChar">
    <w:name w:val="Comment Text Char"/>
    <w:basedOn w:val="DefaultParagraphFont"/>
    <w:link w:val="CommentText"/>
    <w:uiPriority w:val="99"/>
    <w:rsid w:val="00CB23B6"/>
    <w:rPr>
      <w:sz w:val="20"/>
      <w:szCs w:val="20"/>
    </w:rPr>
  </w:style>
  <w:style w:type="paragraph" w:styleId="CommentSubject">
    <w:name w:val="annotation subject"/>
    <w:basedOn w:val="CommentText"/>
    <w:next w:val="CommentText"/>
    <w:link w:val="CommentSubjectChar"/>
    <w:uiPriority w:val="99"/>
    <w:semiHidden/>
    <w:unhideWhenUsed/>
    <w:rsid w:val="00CB23B6"/>
    <w:rPr>
      <w:b/>
      <w:bCs/>
    </w:rPr>
  </w:style>
  <w:style w:type="character" w:customStyle="1" w:styleId="CommentSubjectChar">
    <w:name w:val="Comment Subject Char"/>
    <w:basedOn w:val="CommentTextChar"/>
    <w:link w:val="CommentSubject"/>
    <w:uiPriority w:val="99"/>
    <w:semiHidden/>
    <w:rsid w:val="00CB23B6"/>
    <w:rPr>
      <w:b/>
      <w:bCs/>
      <w:sz w:val="20"/>
      <w:szCs w:val="20"/>
    </w:rPr>
  </w:style>
  <w:style w:type="paragraph" w:styleId="Header">
    <w:name w:val="header"/>
    <w:basedOn w:val="Normal"/>
    <w:link w:val="HeaderChar"/>
    <w:uiPriority w:val="99"/>
    <w:unhideWhenUsed/>
    <w:rsid w:val="006D3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CA7"/>
  </w:style>
  <w:style w:type="paragraph" w:styleId="Footer">
    <w:name w:val="footer"/>
    <w:basedOn w:val="Normal"/>
    <w:link w:val="FooterChar"/>
    <w:uiPriority w:val="99"/>
    <w:unhideWhenUsed/>
    <w:rsid w:val="006D3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CA7"/>
  </w:style>
  <w:style w:type="paragraph" w:styleId="Revision">
    <w:name w:val="Revision"/>
    <w:hidden/>
    <w:uiPriority w:val="99"/>
    <w:semiHidden/>
    <w:rsid w:val="002A6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Manefield</dc:creator>
  <cp:keywords/>
  <dc:description/>
  <cp:lastModifiedBy>Bruce Manefield</cp:lastModifiedBy>
  <cp:revision>3</cp:revision>
  <dcterms:created xsi:type="dcterms:W3CDTF">2024-09-12T03:30:00Z</dcterms:created>
  <dcterms:modified xsi:type="dcterms:W3CDTF">2024-09-12T03:31:00Z</dcterms:modified>
</cp:coreProperties>
</file>